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08" w:rsidRDefault="00A70908" w:rsidP="00A70908">
      <w:pPr>
        <w:shd w:val="clear" w:color="auto" w:fill="FFFFFF"/>
        <w:ind w:rightChars="200" w:right="480"/>
        <w:rPr>
          <w:rFonts w:ascii="Arial" w:hAnsi="Arial" w:cs="Arial"/>
          <w:b/>
          <w:bCs/>
        </w:rPr>
      </w:pPr>
    </w:p>
    <w:p w:rsidR="00A70908" w:rsidRDefault="00A70908" w:rsidP="00A70908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Дума</w:t>
      </w:r>
    </w:p>
    <w:p w:rsidR="00A70908" w:rsidRDefault="00A70908" w:rsidP="00A70908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Большебабинского сельского поселения</w:t>
      </w:r>
    </w:p>
    <w:p w:rsidR="00A70908" w:rsidRDefault="00A70908" w:rsidP="00A70908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Алексеевского муниципального района</w:t>
      </w:r>
    </w:p>
    <w:p w:rsidR="00A70908" w:rsidRDefault="00A70908" w:rsidP="00A70908">
      <w:pPr>
        <w:pBdr>
          <w:bottom w:val="single" w:sz="12" w:space="1" w:color="auto"/>
        </w:pBd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Волгоградской области</w:t>
      </w:r>
    </w:p>
    <w:p w:rsidR="00A70908" w:rsidRDefault="00A70908" w:rsidP="00A70908">
      <w:pPr>
        <w:shd w:val="clear" w:color="auto" w:fill="FFFFFF"/>
        <w:ind w:leftChars="200" w:left="480" w:rightChars="200" w:right="480"/>
        <w:jc w:val="center"/>
        <w:rPr>
          <w:rFonts w:ascii="Arial" w:hAnsi="Arial" w:cs="Arial"/>
          <w:b/>
          <w:bCs/>
        </w:rPr>
      </w:pPr>
    </w:p>
    <w:p w:rsidR="00A70908" w:rsidRDefault="00A70908" w:rsidP="00A70908">
      <w:pPr>
        <w:shd w:val="clear" w:color="auto" w:fill="FFFFFF"/>
        <w:ind w:leftChars="200" w:left="480" w:rightChars="200" w:right="48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A70908" w:rsidRDefault="00A70908" w:rsidP="00A70908">
      <w:pPr>
        <w:ind w:leftChars="200" w:left="480" w:rightChars="200" w:right="48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РЕШЕНИЕ</w:t>
      </w:r>
    </w:p>
    <w:p w:rsidR="00A70908" w:rsidRDefault="00A70908" w:rsidP="00A70908">
      <w:pPr>
        <w:ind w:leftChars="200" w:left="480" w:rightChars="200" w:right="480"/>
        <w:jc w:val="center"/>
        <w:rPr>
          <w:rFonts w:ascii="Arial" w:hAnsi="Arial" w:cs="Arial"/>
          <w:b/>
          <w:bCs/>
          <w:color w:val="000000"/>
        </w:rPr>
      </w:pPr>
    </w:p>
    <w:p w:rsidR="00A70908" w:rsidRDefault="00A70908" w:rsidP="00A70908">
      <w:pPr>
        <w:ind w:leftChars="200" w:left="480" w:rightChars="200" w:right="480"/>
        <w:jc w:val="center"/>
        <w:rPr>
          <w:rFonts w:ascii="Arial" w:hAnsi="Arial" w:cs="Arial"/>
          <w:b/>
          <w:bCs/>
        </w:rPr>
      </w:pPr>
    </w:p>
    <w:p w:rsidR="00A70908" w:rsidRDefault="00A70908" w:rsidP="00A70908">
      <w:pPr>
        <w:ind w:rightChars="200" w:right="480" w:firstLine="180"/>
        <w:rPr>
          <w:rFonts w:ascii="Arial" w:hAnsi="Arial" w:cs="Arial"/>
        </w:rPr>
      </w:pPr>
      <w:r>
        <w:rPr>
          <w:rFonts w:ascii="Arial" w:hAnsi="Arial" w:cs="Arial"/>
        </w:rPr>
        <w:t>от  01.04 2019г.                                                                            № 89/184</w:t>
      </w:r>
    </w:p>
    <w:p w:rsidR="00A70908" w:rsidRDefault="00A70908" w:rsidP="00A70908">
      <w:pPr>
        <w:rPr>
          <w:rFonts w:ascii="Arial" w:hAnsi="Arial" w:cs="Arial"/>
        </w:rPr>
      </w:pPr>
    </w:p>
    <w:p w:rsidR="00A70908" w:rsidRDefault="00A70908" w:rsidP="00A70908">
      <w:pPr>
        <w:pStyle w:val="ConsPlusTitle"/>
        <w:widowControl/>
        <w:outlineLvl w:val="0"/>
        <w:rPr>
          <w:sz w:val="24"/>
          <w:szCs w:val="24"/>
          <w:bdr w:val="none" w:sz="0" w:space="0" w:color="auto" w:frame="1"/>
        </w:rPr>
      </w:pPr>
      <w:r w:rsidRPr="00A70908">
        <w:rPr>
          <w:sz w:val="24"/>
          <w:szCs w:val="24"/>
          <w:bdr w:val="none" w:sz="0" w:space="0" w:color="auto" w:frame="1"/>
        </w:rPr>
        <w:t xml:space="preserve">«О внесении изменений в правила благоустройства </w:t>
      </w:r>
    </w:p>
    <w:p w:rsidR="00A70908" w:rsidRDefault="00A70908" w:rsidP="00A70908">
      <w:pPr>
        <w:pStyle w:val="ConsPlusTitle"/>
        <w:widowControl/>
        <w:outlineLvl w:val="0"/>
        <w:rPr>
          <w:sz w:val="24"/>
          <w:szCs w:val="24"/>
        </w:rPr>
      </w:pPr>
      <w:r w:rsidRPr="00A70908">
        <w:rPr>
          <w:sz w:val="24"/>
          <w:szCs w:val="24"/>
        </w:rPr>
        <w:t>и санитарного</w:t>
      </w:r>
      <w:r>
        <w:rPr>
          <w:sz w:val="24"/>
          <w:szCs w:val="24"/>
        </w:rPr>
        <w:t xml:space="preserve"> </w:t>
      </w:r>
      <w:r w:rsidRPr="00A70908">
        <w:rPr>
          <w:sz w:val="24"/>
          <w:szCs w:val="24"/>
        </w:rPr>
        <w:t xml:space="preserve">содержания территории  </w:t>
      </w:r>
    </w:p>
    <w:p w:rsidR="00A70908" w:rsidRPr="00A70908" w:rsidRDefault="00A70908" w:rsidP="00A70908">
      <w:pPr>
        <w:pStyle w:val="ConsPlusTitle"/>
        <w:widowControl/>
        <w:outlineLvl w:val="0"/>
        <w:rPr>
          <w:sz w:val="24"/>
          <w:szCs w:val="24"/>
        </w:rPr>
      </w:pPr>
      <w:r w:rsidRPr="00A70908">
        <w:rPr>
          <w:sz w:val="24"/>
          <w:szCs w:val="24"/>
        </w:rPr>
        <w:t>Большебабинского сельского поселения</w:t>
      </w:r>
    </w:p>
    <w:p w:rsidR="00A70908" w:rsidRDefault="00A70908" w:rsidP="00A70908">
      <w:pPr>
        <w:pStyle w:val="ConsPlusTitle"/>
        <w:widowControl/>
        <w:outlineLvl w:val="0"/>
        <w:rPr>
          <w:sz w:val="24"/>
          <w:szCs w:val="24"/>
        </w:rPr>
      </w:pPr>
      <w:r w:rsidRPr="00A70908">
        <w:rPr>
          <w:sz w:val="24"/>
          <w:szCs w:val="24"/>
        </w:rPr>
        <w:t xml:space="preserve">Алексеевского муниципального района </w:t>
      </w:r>
    </w:p>
    <w:p w:rsidR="00A70908" w:rsidRPr="00A70908" w:rsidRDefault="00A70908" w:rsidP="00A70908">
      <w:pPr>
        <w:pStyle w:val="ConsPlusTitle"/>
        <w:widowControl/>
        <w:outlineLvl w:val="0"/>
        <w:rPr>
          <w:sz w:val="24"/>
          <w:szCs w:val="24"/>
        </w:rPr>
      </w:pPr>
      <w:r w:rsidRPr="00A70908">
        <w:rPr>
          <w:sz w:val="24"/>
          <w:szCs w:val="24"/>
        </w:rPr>
        <w:t>Волгоградской области»</w:t>
      </w:r>
      <w:r w:rsidRPr="00A70908">
        <w:rPr>
          <w:color w:val="333333"/>
          <w:sz w:val="24"/>
          <w:szCs w:val="24"/>
          <w:bdr w:val="none" w:sz="0" w:space="0" w:color="auto" w:frame="1"/>
        </w:rPr>
        <w:t> 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ind w:firstLine="1317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dr w:val="none" w:sz="0" w:space="0" w:color="auto" w:frame="1"/>
        </w:rPr>
      </w:pP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dr w:val="none" w:sz="0" w:space="0" w:color="auto" w:frame="1"/>
        </w:rPr>
      </w:pP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В соответствии с Законом Волгоградской области от 10.07.2018г № 83-ОД «</w:t>
      </w:r>
      <w:r>
        <w:rPr>
          <w:rFonts w:ascii="Arial" w:hAnsi="Arial" w:cs="Arial"/>
        </w:rPr>
        <w:t>О порядке определения органами местного самоуправления границ прилегающих территорий</w:t>
      </w:r>
      <w:r>
        <w:rPr>
          <w:rFonts w:ascii="Arial" w:hAnsi="Arial" w:cs="Arial"/>
          <w:bdr w:val="none" w:sz="0" w:space="0" w:color="auto" w:frame="1"/>
        </w:rPr>
        <w:t>», статьей 45.1 Федерального закона от 06.10.2003 № 131-ФЗ «Об общих принципах организации местного самоуправления в Российской Федерации», ст.55.25 Градостроительного Кодекса РФ, Уставом Большебабинского сельского поселения», Дума Большебабинского сельского поселения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dr w:val="none" w:sz="0" w:space="0" w:color="auto" w:frame="1"/>
        </w:rPr>
        <w:t>РЕШИЛА:</w:t>
      </w:r>
    </w:p>
    <w:p w:rsidR="00A70908" w:rsidRDefault="00A70908" w:rsidP="00A70908">
      <w:pPr>
        <w:ind w:firstLine="708"/>
        <w:jc w:val="both"/>
        <w:rPr>
          <w:rFonts w:ascii="Arial" w:hAnsi="Arial" w:cs="Arial"/>
          <w:bdr w:val="none" w:sz="0" w:space="0" w:color="auto" w:frame="1"/>
        </w:rPr>
      </w:pPr>
    </w:p>
    <w:p w:rsidR="00A70908" w:rsidRDefault="00A70908" w:rsidP="00A709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1.  Внести в Решение Думы Большебабинского сельского поселения от </w:t>
      </w:r>
      <w:r>
        <w:rPr>
          <w:rFonts w:ascii="Arial" w:hAnsi="Arial" w:cs="Arial"/>
          <w:color w:val="000000"/>
          <w:bdr w:val="none" w:sz="0" w:space="0" w:color="auto" w:frame="1"/>
        </w:rPr>
        <w:t>12.11.2013г. № 71/173</w:t>
      </w:r>
      <w:r>
        <w:rPr>
          <w:rFonts w:ascii="Arial" w:hAnsi="Arial" w:cs="Arial"/>
          <w:b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«</w:t>
      </w:r>
      <w:r>
        <w:rPr>
          <w:rFonts w:ascii="Arial" w:hAnsi="Arial" w:cs="Arial"/>
        </w:rPr>
        <w:t xml:space="preserve">Об утверждении «Правил  </w:t>
      </w:r>
      <w:r>
        <w:rPr>
          <w:rFonts w:ascii="Arial" w:hAnsi="Arial" w:cs="Arial"/>
          <w:bdr w:val="none" w:sz="0" w:space="0" w:color="auto" w:frame="1"/>
        </w:rPr>
        <w:t xml:space="preserve">благоустройства </w:t>
      </w:r>
      <w:r>
        <w:rPr>
          <w:rFonts w:ascii="Arial" w:hAnsi="Arial" w:cs="Arial"/>
        </w:rPr>
        <w:t>и санитарного</w:t>
      </w:r>
      <w:r>
        <w:t xml:space="preserve"> </w:t>
      </w:r>
      <w:r>
        <w:rPr>
          <w:rFonts w:ascii="Arial" w:hAnsi="Arial" w:cs="Arial"/>
        </w:rPr>
        <w:t xml:space="preserve">содержания территории  </w:t>
      </w:r>
      <w:r>
        <w:rPr>
          <w:rFonts w:ascii="Arial" w:hAnsi="Arial" w:cs="Arial"/>
          <w:bdr w:val="none" w:sz="0" w:space="0" w:color="auto" w:frame="1"/>
        </w:rPr>
        <w:t>Большебабинского</w:t>
      </w:r>
      <w:r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области»</w:t>
      </w:r>
      <w:r>
        <w:rPr>
          <w:rFonts w:ascii="Arial" w:hAnsi="Arial" w:cs="Arial"/>
          <w:bdr w:val="none" w:sz="0" w:space="0" w:color="auto" w:frame="1"/>
        </w:rPr>
        <w:t xml:space="preserve"> следующие изменения и дополнения:</w:t>
      </w:r>
    </w:p>
    <w:p w:rsidR="00A70908" w:rsidRDefault="00A70908" w:rsidP="00A70908">
      <w:pPr>
        <w:spacing w:after="1" w:line="220" w:lineRule="atLeast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dr w:val="none" w:sz="0" w:space="0" w:color="auto" w:frame="1"/>
        </w:rPr>
        <w:t>1.1. Пункт 1.2.</w:t>
      </w:r>
      <w:r>
        <w:rPr>
          <w:rFonts w:ascii="Arial" w:hAnsi="Arial" w:cs="Arial"/>
          <w:b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«</w:t>
      </w:r>
      <w:r>
        <w:rPr>
          <w:rFonts w:ascii="Arial" w:hAnsi="Arial" w:cs="Arial"/>
        </w:rPr>
        <w:t>Основные понятия»</w:t>
      </w:r>
      <w:r>
        <w:rPr>
          <w:rFonts w:ascii="Arial" w:hAnsi="Arial" w:cs="Arial"/>
          <w:bdr w:val="none" w:sz="0" w:space="0" w:color="auto" w:frame="1"/>
        </w:rPr>
        <w:t>,  Части 1 дополнить подпунктом 1.2.24: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«1.2.24  Прилегающая территория: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а)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rPr>
          <w:rFonts w:ascii="Arial" w:hAnsi="Arial" w:cs="Arial"/>
          <w:bdr w:val="none" w:sz="0" w:space="0" w:color="auto" w:frame="1"/>
        </w:rPr>
        <w:t>границы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б)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в)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г) внутренняя граница прилегающей территории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dr w:val="none" w:sz="0" w:space="0" w:color="auto" w:frame="1"/>
        </w:rPr>
        <w:lastRenderedPageBreak/>
        <w:t>д</w:t>
      </w:r>
      <w:proofErr w:type="spellEnd"/>
      <w:r>
        <w:rPr>
          <w:rFonts w:ascii="Arial" w:hAnsi="Arial" w:cs="Arial"/>
          <w:bdr w:val="none" w:sz="0" w:space="0" w:color="auto" w:frame="1"/>
        </w:rPr>
        <w:t>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е) площадь прилегающей территории - площадь геометрической фигуры, образованной проекцией границы прилегающей территории на горизонтальную плоскость</w:t>
      </w:r>
      <w:proofErr w:type="gramStart"/>
      <w:r>
        <w:rPr>
          <w:rFonts w:ascii="Arial" w:hAnsi="Arial" w:cs="Arial"/>
          <w:bdr w:val="none" w:sz="0" w:space="0" w:color="auto" w:frame="1"/>
        </w:rPr>
        <w:t>;.».</w:t>
      </w:r>
      <w:proofErr w:type="gramEnd"/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 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>   </w:t>
      </w:r>
      <w:r>
        <w:rPr>
          <w:rFonts w:ascii="Arial" w:hAnsi="Arial" w:cs="Arial"/>
          <w:bCs/>
          <w:bdr w:val="none" w:sz="0" w:space="0" w:color="auto" w:frame="1"/>
        </w:rPr>
        <w:t>1.</w:t>
      </w:r>
      <w:r>
        <w:rPr>
          <w:rFonts w:ascii="Arial" w:hAnsi="Arial" w:cs="Arial"/>
          <w:bdr w:val="none" w:sz="0" w:space="0" w:color="auto" w:frame="1"/>
        </w:rPr>
        <w:t>2.</w:t>
      </w:r>
      <w:r>
        <w:rPr>
          <w:rFonts w:ascii="Arial" w:hAnsi="Arial" w:cs="Arial"/>
          <w:b/>
          <w:bCs/>
          <w:bdr w:val="none" w:sz="0" w:space="0" w:color="auto" w:frame="1"/>
        </w:rPr>
        <w:t> </w:t>
      </w:r>
      <w:r>
        <w:rPr>
          <w:rFonts w:ascii="Arial" w:hAnsi="Arial" w:cs="Arial"/>
          <w:bCs/>
          <w:bdr w:val="none" w:sz="0" w:space="0" w:color="auto" w:frame="1"/>
        </w:rPr>
        <w:t xml:space="preserve">Добавить Правила </w:t>
      </w:r>
      <w:r>
        <w:rPr>
          <w:rFonts w:ascii="Arial" w:hAnsi="Arial" w:cs="Arial"/>
          <w:b/>
          <w:bCs/>
          <w:bdr w:val="none" w:sz="0" w:space="0" w:color="auto" w:frame="1"/>
        </w:rPr>
        <w:t xml:space="preserve"> Частью  </w:t>
      </w:r>
      <w:r>
        <w:rPr>
          <w:rFonts w:ascii="Arial" w:hAnsi="Arial" w:cs="Arial"/>
          <w:b/>
          <w:bCs/>
          <w:bdr w:val="none" w:sz="0" w:space="0" w:color="auto" w:frame="1"/>
          <w:lang w:val="en-US"/>
        </w:rPr>
        <w:t>IV</w:t>
      </w:r>
      <w:r>
        <w:rPr>
          <w:rFonts w:ascii="Arial" w:hAnsi="Arial" w:cs="Arial"/>
          <w:b/>
          <w:bCs/>
          <w:bdr w:val="none" w:sz="0" w:space="0" w:color="auto" w:frame="1"/>
        </w:rPr>
        <w:t>. Порядок определения границ прилегающих территорий: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  <w:bCs/>
          <w:bdr w:val="none" w:sz="0" w:space="0" w:color="auto" w:frame="1"/>
        </w:rPr>
      </w:pP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Cs/>
          <w:bdr w:val="none" w:sz="0" w:space="0" w:color="auto" w:frame="1"/>
        </w:rPr>
        <w:t xml:space="preserve">«Часть </w:t>
      </w:r>
      <w:r>
        <w:rPr>
          <w:rFonts w:ascii="Arial" w:hAnsi="Arial" w:cs="Arial"/>
          <w:b/>
          <w:bdr w:val="none" w:sz="0" w:space="0" w:color="auto" w:frame="1"/>
        </w:rPr>
        <w:t> </w:t>
      </w:r>
      <w:r>
        <w:rPr>
          <w:rFonts w:ascii="Arial" w:hAnsi="Arial" w:cs="Arial"/>
          <w:b/>
          <w:bdr w:val="none" w:sz="0" w:space="0" w:color="auto" w:frame="1"/>
          <w:lang w:val="en-US"/>
        </w:rPr>
        <w:t>IV</w:t>
      </w:r>
      <w:r>
        <w:rPr>
          <w:rFonts w:ascii="Arial" w:hAnsi="Arial" w:cs="Arial"/>
          <w:b/>
          <w:bdr w:val="none" w:sz="0" w:space="0" w:color="auto" w:frame="1"/>
        </w:rPr>
        <w:t xml:space="preserve">. ПОРЯДОК ОПРЕДЕЛЕНИЯ ГРАНИЦ 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dr w:val="none" w:sz="0" w:space="0" w:color="auto" w:frame="1"/>
        </w:rPr>
        <w:t>ПРИЛЕГАЮЩИХ ТЕРРИТОРИЙ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 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1. </w:t>
      </w:r>
      <w:proofErr w:type="gramStart"/>
      <w:r>
        <w:rPr>
          <w:rFonts w:ascii="Arial" w:hAnsi="Arial" w:cs="Arial"/>
          <w:bdr w:val="none" w:sz="0" w:space="0" w:color="auto" w:frame="1"/>
        </w:rPr>
        <w:t>Границы прилегающих территорий определяются правилами благоустройства территории муниципального образования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прилегающих территорий.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2. </w:t>
      </w:r>
      <w:proofErr w:type="gramStart"/>
      <w:r>
        <w:rPr>
          <w:rFonts w:ascii="Arial" w:hAnsi="Arial" w:cs="Arial"/>
          <w:bdr w:val="none" w:sz="0" w:space="0" w:color="auto" w:frame="1"/>
        </w:rPr>
        <w:t>Границы прилегающих территорий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использования, их площади и протяженности указанной общей границы, а также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иных требований настоящего Закона.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3. В границах прилегающих территорий могут располагаться следующие территории общего пользования или их части: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1) пешеходные коммуникации, в том числе тротуары, аллеи, дорожки, тропинки;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2) палисадники, клумбы;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земельного участка в соответствии с </w:t>
      </w:r>
      <w:hyperlink r:id="rId5" w:anchor="block_45121" w:history="1">
        <w:r>
          <w:rPr>
            <w:rStyle w:val="af7"/>
            <w:rFonts w:ascii="Arial" w:eastAsiaTheme="majorEastAsia" w:hAnsi="Arial" w:cs="Arial"/>
            <w:bdr w:val="none" w:sz="0" w:space="0" w:color="auto" w:frame="1"/>
          </w:rPr>
          <w:t>законодательством</w:t>
        </w:r>
      </w:hyperlink>
      <w:r>
        <w:rPr>
          <w:rFonts w:ascii="Arial" w:hAnsi="Arial" w:cs="Arial"/>
          <w:bdr w:val="none" w:sz="0" w:space="0" w:color="auto" w:frame="1"/>
        </w:rPr>
        <w:t xml:space="preserve"> Российской Федерации.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4. Границы прилегающих территорий определяются с учетом следующих ограничений: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1) в отношении каждого здания, строения, сооружения, земельного участка может быть установлены границы только одной прилегающей территории, в том числе границы, </w:t>
      </w:r>
      <w:proofErr w:type="gramStart"/>
      <w:r>
        <w:rPr>
          <w:rFonts w:ascii="Arial" w:hAnsi="Arial" w:cs="Arial"/>
          <w:bdr w:val="none" w:sz="0" w:space="0" w:color="auto" w:frame="1"/>
        </w:rPr>
        <w:t>имеющая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один замкнутый контур или два непересекающихся замкнутых контура;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2) 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 обеспечения функционирования другого здания, строения, сооружения, земельного участка, в </w:t>
      </w:r>
      <w:r>
        <w:rPr>
          <w:rFonts w:ascii="Arial" w:hAnsi="Arial" w:cs="Arial"/>
          <w:bdr w:val="none" w:sz="0" w:space="0" w:color="auto" w:frame="1"/>
        </w:rPr>
        <w:lastRenderedPageBreak/>
        <w:t>отношении которых определяются границы прилегающей территории, не допускается;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3) не допускается пересечение границ прилегающих территорий;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4) 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определяется граница прилегающей территории;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5) при определении границ прилегающей территории не допускается вклинивание, </w:t>
      </w:r>
      <w:proofErr w:type="spellStart"/>
      <w:r>
        <w:rPr>
          <w:rFonts w:ascii="Arial" w:hAnsi="Arial" w:cs="Arial"/>
          <w:bdr w:val="none" w:sz="0" w:space="0" w:color="auto" w:frame="1"/>
        </w:rPr>
        <w:t>вкрапливание</w:t>
      </w:r>
      <w:proofErr w:type="spellEnd"/>
      <w:r>
        <w:rPr>
          <w:rFonts w:ascii="Arial" w:hAnsi="Arial" w:cs="Arial"/>
          <w:bdr w:val="none" w:sz="0" w:space="0" w:color="auto" w:frame="1"/>
        </w:rPr>
        <w:t>, изломанность границ, чересполосица.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5. Границы прилегающей территории отображаются на схеме границ прилегающей территории на кадастровом плане территории (далее - схема границы прилегающей территории).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6. 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 xml:space="preserve"> Схема границ прилегающей территории может быть подготовлена в соответствии с  действующим законодательством физическими и 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( </w:t>
      </w:r>
      <w:proofErr w:type="gramEnd"/>
      <w:r>
        <w:rPr>
          <w:rFonts w:ascii="Arial" w:hAnsi="Arial" w:cs="Arial"/>
          <w:bdr w:val="none" w:sz="0" w:space="0" w:color="auto" w:frame="1"/>
        </w:rPr>
        <w:t>или) юридическими лицами за счет их средств.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7. Подготовка схемы границы прилегающей территории осуществляется в форме документа, в том числе электронного, с использованием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документа, в том числе электронного.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В случае подготовки схемы границы прилегающей территории кадастровым инженером электронный документ подписывается </w:t>
      </w:r>
      <w:hyperlink r:id="rId6" w:anchor="block_54" w:history="1">
        <w:r>
          <w:rPr>
            <w:rStyle w:val="af7"/>
            <w:rFonts w:ascii="Arial" w:eastAsiaTheme="majorEastAsia" w:hAnsi="Arial" w:cs="Arial"/>
            <w:bdr w:val="none" w:sz="0" w:space="0" w:color="auto" w:frame="1"/>
          </w:rPr>
          <w:t>усиленной квалифицированной электронной подписью</w:t>
        </w:r>
      </w:hyperlink>
      <w:r>
        <w:rPr>
          <w:rFonts w:ascii="Arial" w:hAnsi="Arial" w:cs="Arial"/>
          <w:bdr w:val="none" w:sz="0" w:space="0" w:color="auto" w:frame="1"/>
        </w:rPr>
        <w:t xml:space="preserve"> кадастрового инженера, подготовившего такую схему. 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8. Форма схемы границы прилегающей территории, требования к ее подготовке устанавливаются органом исполнительной власти Волгоградской области, уполномоченным в сфере градостроительной деятельности и архитектуры на территории  Волгоградской области.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9. Установление и изменение границ прилегающей территории осуществляются путем утверждения  органом местного самоуправления схем границ прилегающей территории. 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>10. 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органа местного самоуправления ( при наличии такого официального сайта)</w:t>
      </w:r>
      <w:proofErr w:type="gramStart"/>
      <w:r>
        <w:rPr>
          <w:rFonts w:ascii="Arial" w:hAnsi="Arial" w:cs="Arial"/>
          <w:bdr w:val="none" w:sz="0" w:space="0" w:color="auto" w:frame="1"/>
        </w:rPr>
        <w:t xml:space="preserve"> .</w:t>
      </w:r>
      <w:proofErr w:type="gramEnd"/>
      <w:r>
        <w:rPr>
          <w:rFonts w:ascii="Arial" w:hAnsi="Arial" w:cs="Arial"/>
          <w:bdr w:val="none" w:sz="0" w:space="0" w:color="auto" w:frame="1"/>
        </w:rPr>
        <w:t>».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 w:line="213" w:lineRule="atLeast"/>
        <w:ind w:firstLine="526"/>
        <w:jc w:val="both"/>
        <w:rPr>
          <w:rFonts w:ascii="Arial" w:hAnsi="Arial" w:cs="Arial"/>
          <w:bdr w:val="none" w:sz="0" w:space="0" w:color="auto" w:frame="1"/>
        </w:rPr>
      </w:pPr>
    </w:p>
    <w:p w:rsidR="00A70908" w:rsidRDefault="00A70908" w:rsidP="00A70908">
      <w:pPr>
        <w:widowControl w:val="0"/>
        <w:autoSpaceDE w:val="0"/>
        <w:jc w:val="both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</w:rPr>
        <w:t xml:space="preserve">         2. Обнародовать настоящее решение и разместить на официальном сайте </w:t>
      </w:r>
      <w:proofErr w:type="gramStart"/>
      <w:r>
        <w:rPr>
          <w:rFonts w:ascii="Arial" w:hAnsi="Arial" w:cs="Arial"/>
          <w:sz w:val="26"/>
          <w:szCs w:val="26"/>
        </w:rPr>
        <w:t>на</w:t>
      </w:r>
      <w:proofErr w:type="gramEnd"/>
      <w:r>
        <w:rPr>
          <w:rFonts w:ascii="Arial" w:hAnsi="Arial" w:cs="Arial"/>
          <w:sz w:val="26"/>
          <w:szCs w:val="26"/>
        </w:rPr>
        <w:t xml:space="preserve"> Алексеевского муниципального района </w:t>
      </w:r>
      <w:hyperlink r:id="rId7" w:history="1"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</w:rPr>
          <w:t>http://www.a</w:t>
        </w:r>
        <w:proofErr w:type="spellStart"/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  <w:lang w:val="en-US"/>
          </w:rPr>
          <w:t>lex</w:t>
        </w:r>
        <w:proofErr w:type="spellEnd"/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</w:rPr>
          <w:t>-</w:t>
        </w:r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  <w:lang w:val="en-US"/>
          </w:rPr>
          <w:t>land</w:t>
        </w:r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</w:rPr>
          <w:t>.</w:t>
        </w:r>
        <w:proofErr w:type="spellStart"/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</w:rPr>
          <w:t>r</w:t>
        </w:r>
        <w:proofErr w:type="spellEnd"/>
        <w:r>
          <w:rPr>
            <w:rStyle w:val="af7"/>
            <w:rFonts w:ascii="Arial" w:eastAsiaTheme="majorEastAsia" w:hAnsi="Arial" w:cs="Arial"/>
            <w:color w:val="000000"/>
            <w:sz w:val="26"/>
            <w:szCs w:val="26"/>
            <w:lang w:val="en-US"/>
          </w:rPr>
          <w:t>u</w:t>
        </w:r>
      </w:hyperlink>
      <w:r>
        <w:rPr>
          <w:rFonts w:ascii="Arial" w:hAnsi="Arial" w:cs="Arial"/>
          <w:color w:val="000000"/>
          <w:sz w:val="26"/>
          <w:szCs w:val="26"/>
          <w:u w:val="single"/>
        </w:rPr>
        <w:t>/</w:t>
      </w:r>
      <w:proofErr w:type="spellStart"/>
      <w:r>
        <w:rPr>
          <w:rFonts w:ascii="Arial" w:hAnsi="Arial" w:cs="Arial"/>
          <w:color w:val="000000"/>
          <w:sz w:val="26"/>
          <w:szCs w:val="26"/>
          <w:u w:val="single"/>
          <w:lang w:val="en-US"/>
        </w:rPr>
        <w:t>bolshebabinskoe</w:t>
      </w:r>
      <w:proofErr w:type="spellEnd"/>
      <w:r>
        <w:rPr>
          <w:rFonts w:ascii="Arial" w:hAnsi="Arial" w:cs="Arial"/>
          <w:color w:val="000000"/>
          <w:sz w:val="26"/>
          <w:szCs w:val="26"/>
          <w:u w:val="single"/>
        </w:rPr>
        <w:t>/</w:t>
      </w:r>
    </w:p>
    <w:p w:rsidR="00A70908" w:rsidRDefault="00A70908" w:rsidP="00A70908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</w:p>
    <w:p w:rsidR="00A70908" w:rsidRDefault="00A70908" w:rsidP="00A7090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lastRenderedPageBreak/>
        <w:t>3.    </w:t>
      </w:r>
      <w:r>
        <w:rPr>
          <w:rFonts w:ascii="Arial" w:hAnsi="Arial" w:cs="Arial"/>
        </w:rPr>
        <w:t>Настоящее решение вступает в силу со дня его официального обнародования.</w:t>
      </w:r>
    </w:p>
    <w:p w:rsidR="00A70908" w:rsidRDefault="00A70908" w:rsidP="00A70908">
      <w:pPr>
        <w:ind w:firstLine="526"/>
        <w:jc w:val="both"/>
        <w:rPr>
          <w:rFonts w:ascii="Arial" w:hAnsi="Arial" w:cs="Arial"/>
        </w:rPr>
      </w:pP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Fonts w:ascii="Arial" w:hAnsi="Arial" w:cs="Arial"/>
          <w:color w:val="333333"/>
          <w:bdr w:val="none" w:sz="0" w:space="0" w:color="auto" w:frame="1"/>
        </w:rPr>
        <w:t> </w:t>
      </w: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</w:p>
    <w:p w:rsidR="00A70908" w:rsidRDefault="00A70908" w:rsidP="00A7090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2D2D2D"/>
          <w:spacing w:val="2"/>
          <w:bdr w:val="none" w:sz="0" w:space="0" w:color="auto" w:frame="1"/>
        </w:rPr>
        <w:t> </w:t>
      </w:r>
    </w:p>
    <w:p w:rsidR="00A70908" w:rsidRDefault="00A70908" w:rsidP="00A70908">
      <w:pPr>
        <w:ind w:right="361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>
        <w:rPr>
          <w:rFonts w:ascii="Arial" w:hAnsi="Arial" w:cs="Arial"/>
          <w:bdr w:val="none" w:sz="0" w:space="0" w:color="auto" w:frame="1"/>
        </w:rPr>
        <w:t>Большебабинского</w:t>
      </w:r>
      <w:r>
        <w:rPr>
          <w:rFonts w:ascii="Arial" w:hAnsi="Arial" w:cs="Arial"/>
        </w:rPr>
        <w:t xml:space="preserve"> </w:t>
      </w:r>
    </w:p>
    <w:p w:rsidR="00A70908" w:rsidRDefault="00A70908" w:rsidP="00A70908">
      <w:pPr>
        <w:ind w:right="361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                                                             Т. А. Андреева</w:t>
      </w:r>
    </w:p>
    <w:p w:rsidR="00A70908" w:rsidRDefault="00A70908" w:rsidP="00A7090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70908" w:rsidRDefault="00A70908" w:rsidP="00A70908">
      <w:pPr>
        <w:pStyle w:val="af8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16A75" w:rsidRDefault="00B16A75"/>
    <w:sectPr w:rsidR="00B16A75" w:rsidSect="0074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599"/>
    <w:multiLevelType w:val="hybridMultilevel"/>
    <w:tmpl w:val="FCA26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22CE"/>
    <w:rsid w:val="000B7156"/>
    <w:rsid w:val="00105D9B"/>
    <w:rsid w:val="00174C42"/>
    <w:rsid w:val="00206E97"/>
    <w:rsid w:val="00211460"/>
    <w:rsid w:val="00256EC2"/>
    <w:rsid w:val="00294A9F"/>
    <w:rsid w:val="002D67FC"/>
    <w:rsid w:val="002D6F35"/>
    <w:rsid w:val="00314761"/>
    <w:rsid w:val="00315FA3"/>
    <w:rsid w:val="003168F1"/>
    <w:rsid w:val="00342303"/>
    <w:rsid w:val="00347732"/>
    <w:rsid w:val="00364028"/>
    <w:rsid w:val="00494878"/>
    <w:rsid w:val="00507FFB"/>
    <w:rsid w:val="0053215D"/>
    <w:rsid w:val="005D470C"/>
    <w:rsid w:val="005E49BE"/>
    <w:rsid w:val="006361F4"/>
    <w:rsid w:val="00652738"/>
    <w:rsid w:val="00664D7B"/>
    <w:rsid w:val="0069738C"/>
    <w:rsid w:val="007110A3"/>
    <w:rsid w:val="00723498"/>
    <w:rsid w:val="007424A0"/>
    <w:rsid w:val="0075125E"/>
    <w:rsid w:val="007C1E5F"/>
    <w:rsid w:val="0080332B"/>
    <w:rsid w:val="008F44C3"/>
    <w:rsid w:val="00A64B3B"/>
    <w:rsid w:val="00A70908"/>
    <w:rsid w:val="00AF1767"/>
    <w:rsid w:val="00B16A75"/>
    <w:rsid w:val="00B74425"/>
    <w:rsid w:val="00C82A1B"/>
    <w:rsid w:val="00C922CE"/>
    <w:rsid w:val="00CA479D"/>
    <w:rsid w:val="00E65F38"/>
    <w:rsid w:val="00EE3AC9"/>
    <w:rsid w:val="00F16A76"/>
    <w:rsid w:val="00F60702"/>
    <w:rsid w:val="00FF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9487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7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7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7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7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78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78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7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7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87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487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487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487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9487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948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94878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9487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94878"/>
    <w:rPr>
      <w:b/>
      <w:bCs/>
      <w:spacing w:val="0"/>
    </w:rPr>
  </w:style>
  <w:style w:type="character" w:styleId="a9">
    <w:name w:val="Emphasis"/>
    <w:uiPriority w:val="20"/>
    <w:qFormat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qFormat/>
    <w:rsid w:val="00494878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94878"/>
    <w:rPr>
      <w:i/>
      <w:iCs/>
      <w:sz w:val="20"/>
      <w:szCs w:val="20"/>
    </w:rPr>
  </w:style>
  <w:style w:type="paragraph" w:styleId="ac">
    <w:name w:val="List Paragraph"/>
    <w:basedOn w:val="a"/>
    <w:qFormat/>
    <w:rsid w:val="00494878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94878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94878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94878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9487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9487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948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94878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94878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9487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94878"/>
    <w:pPr>
      <w:outlineLvl w:val="9"/>
    </w:pPr>
  </w:style>
  <w:style w:type="paragraph" w:customStyle="1" w:styleId="ConsTitle">
    <w:name w:val="ConsTitle"/>
    <w:rsid w:val="00C92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5">
    <w:name w:val="Body Text"/>
    <w:basedOn w:val="a"/>
    <w:link w:val="af6"/>
    <w:semiHidden/>
    <w:unhideWhenUsed/>
    <w:rsid w:val="00FF0C4A"/>
    <w:pPr>
      <w:jc w:val="both"/>
    </w:pPr>
    <w:rPr>
      <w:bCs/>
      <w:sz w:val="28"/>
    </w:rPr>
  </w:style>
  <w:style w:type="character" w:customStyle="1" w:styleId="af6">
    <w:name w:val="Основной текст Знак"/>
    <w:basedOn w:val="a0"/>
    <w:link w:val="af5"/>
    <w:semiHidden/>
    <w:rsid w:val="00FF0C4A"/>
    <w:rPr>
      <w:rFonts w:ascii="Times New Roman" w:eastAsia="Times New Roman" w:hAnsi="Times New Roman" w:cs="Times New Roman"/>
      <w:bCs/>
      <w:sz w:val="28"/>
      <w:szCs w:val="24"/>
      <w:lang w:val="ru-RU" w:eastAsia="ru-RU" w:bidi="ar-SA"/>
    </w:rPr>
  </w:style>
  <w:style w:type="paragraph" w:customStyle="1" w:styleId="ConsNormal">
    <w:name w:val="ConsNormal"/>
    <w:rsid w:val="000B715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ar-SA" w:bidi="ar-SA"/>
    </w:rPr>
  </w:style>
  <w:style w:type="character" w:styleId="af7">
    <w:name w:val="Hyperlink"/>
    <w:basedOn w:val="a0"/>
    <w:semiHidden/>
    <w:unhideWhenUsed/>
    <w:rsid w:val="00A70908"/>
    <w:rPr>
      <w:color w:val="0000FF"/>
      <w:u w:val="single"/>
    </w:rPr>
  </w:style>
  <w:style w:type="paragraph" w:styleId="af8">
    <w:name w:val="Normal (Web)"/>
    <w:basedOn w:val="a"/>
    <w:semiHidden/>
    <w:unhideWhenUsed/>
    <w:rsid w:val="00A7090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70908"/>
    <w:pPr>
      <w:spacing w:before="100" w:beforeAutospacing="1" w:after="100" w:afterAutospacing="1"/>
    </w:pPr>
  </w:style>
  <w:style w:type="paragraph" w:customStyle="1" w:styleId="ConsPlusTitle">
    <w:name w:val="ConsPlusTitle"/>
    <w:rsid w:val="00A70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x-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74-5cdkrbvuqmppxe.xn--p1ai/npa1/346-proekt-izmenenij-v-pravila-blagoustrojstva" TargetMode="External"/><Relationship Id="rId5" Type="http://schemas.openxmlformats.org/officeDocument/2006/relationships/hyperlink" Target="http://xn---74-5cdkrbvuqmppxe.xn--p1ai/npa1/346-proekt-izmenenij-v-pravila-blagoustroj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cp:lastPrinted>2019-02-08T06:11:00Z</cp:lastPrinted>
  <dcterms:created xsi:type="dcterms:W3CDTF">2019-02-06T06:24:00Z</dcterms:created>
  <dcterms:modified xsi:type="dcterms:W3CDTF">2019-04-12T06:46:00Z</dcterms:modified>
</cp:coreProperties>
</file>